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F0F29" w:rsidR="0050612E" w:rsidP="0D2F197C" w:rsidRDefault="003F0F29" w14:paraId="0FCAD2E5" w14:textId="5B0BD12A">
      <w:pPr>
        <w:rPr>
          <w:rFonts w:cs="Calibri" w:cstheme="minorAscii"/>
          <w:sz w:val="24"/>
          <w:szCs w:val="24"/>
        </w:rPr>
      </w:pPr>
      <w:bookmarkStart w:name="_GoBack" w:id="0"/>
      <w:r w:rsidRPr="6802B231" w:rsidR="003F0F29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Terra em Transe</w:t>
      </w:r>
      <w:r w:rsidRPr="6802B231" w:rsidR="00D31E0B">
        <w:rPr>
          <w:rFonts w:cs="Calibri" w:cstheme="minorAscii"/>
          <w:sz w:val="24"/>
          <w:szCs w:val="24"/>
        </w:rPr>
        <w:t xml:space="preserve"> </w:t>
      </w:r>
      <w:bookmarkEnd w:id="0"/>
      <w:r w:rsidRPr="6802B231" w:rsidR="003F0F29">
        <w:rPr>
          <w:rFonts w:cs="Calibri" w:cstheme="minorAscii"/>
          <w:sz w:val="24"/>
          <w:szCs w:val="24"/>
        </w:rPr>
        <w:t>(RJ</w:t>
      </w:r>
      <w:r w:rsidRPr="6802B231" w:rsidR="0050612E">
        <w:rPr>
          <w:rFonts w:cs="Calibri" w:cstheme="minorAscii"/>
          <w:sz w:val="24"/>
          <w:szCs w:val="24"/>
        </w:rPr>
        <w:t xml:space="preserve">, </w:t>
      </w:r>
      <w:r w:rsidRPr="6802B231" w:rsidR="003F0F29">
        <w:rPr>
          <w:rFonts w:cs="Calibri" w:cstheme="minorAscii"/>
          <w:sz w:val="24"/>
          <w:szCs w:val="24"/>
        </w:rPr>
        <w:t>1967</w:t>
      </w:r>
      <w:r w:rsidRPr="6802B231" w:rsidR="0050612E">
        <w:rPr>
          <w:rFonts w:cs="Calibri" w:cstheme="minorAscii"/>
          <w:sz w:val="24"/>
          <w:szCs w:val="24"/>
        </w:rPr>
        <w:t xml:space="preserve">, </w:t>
      </w:r>
      <w:r w:rsidRPr="6802B231" w:rsidR="003F0F29">
        <w:rPr>
          <w:rFonts w:cs="Calibri" w:cstheme="minorAscii"/>
          <w:sz w:val="24"/>
          <w:szCs w:val="24"/>
        </w:rPr>
        <w:t>drama</w:t>
      </w:r>
      <w:r w:rsidRPr="6802B231" w:rsidR="003E2813">
        <w:rPr>
          <w:rFonts w:cs="Calibri" w:cstheme="minorAscii"/>
          <w:sz w:val="24"/>
          <w:szCs w:val="24"/>
        </w:rPr>
        <w:t xml:space="preserve">, </w:t>
      </w:r>
      <w:r w:rsidRPr="6802B231" w:rsidR="00D31E0B">
        <w:rPr>
          <w:rFonts w:cs="Calibri" w:cstheme="minorAscii"/>
          <w:sz w:val="24"/>
          <w:szCs w:val="24"/>
        </w:rPr>
        <w:t>1</w:t>
      </w:r>
      <w:r w:rsidRPr="6802B231" w:rsidR="003F0F29">
        <w:rPr>
          <w:rFonts w:cs="Calibri" w:cstheme="minorAscii"/>
          <w:sz w:val="24"/>
          <w:szCs w:val="24"/>
        </w:rPr>
        <w:t>08</w:t>
      </w:r>
      <w:r w:rsidRPr="6802B231" w:rsidR="0050612E">
        <w:rPr>
          <w:rFonts w:cs="Calibri" w:cstheme="minorAscii"/>
          <w:sz w:val="24"/>
          <w:szCs w:val="24"/>
        </w:rPr>
        <w:t xml:space="preserve"> min</w:t>
      </w:r>
      <w:r w:rsidRPr="6802B231" w:rsidR="0050612E">
        <w:rPr>
          <w:rFonts w:cs="Calibri" w:cstheme="minorAscii"/>
          <w:sz w:val="24"/>
          <w:szCs w:val="24"/>
        </w:rPr>
        <w:t>)</w:t>
      </w:r>
    </w:p>
    <w:p w:rsidRPr="003F0F29" w:rsidR="0050612E" w:rsidP="0D2F197C" w:rsidRDefault="0050612E" w14:paraId="730959D4" w14:textId="734107F3" w14:noSpellErr="1">
      <w:pPr>
        <w:rPr>
          <w:rFonts w:cs="Calibri" w:cstheme="minorAscii"/>
          <w:sz w:val="24"/>
          <w:szCs w:val="24"/>
        </w:rPr>
      </w:pPr>
      <w:r w:rsidRPr="0D2F197C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0D2F197C" w:rsidR="0050612E">
        <w:rPr>
          <w:rFonts w:cs="Calibri" w:cstheme="minorAscii"/>
          <w:sz w:val="24"/>
          <w:szCs w:val="24"/>
        </w:rPr>
        <w:t xml:space="preserve"> </w:t>
      </w:r>
      <w:r w:rsidRPr="0D2F197C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3F0F29" w:rsidR="0050612E" w:rsidP="5C9FD9D8" w:rsidRDefault="0050612E" w14:paraId="212FEB06" w14:textId="1D6AF401">
      <w:pPr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</w:pPr>
      <w:r w:rsidRPr="3808245A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3808245A" w:rsidR="003F0F29">
        <w:rPr>
          <w:color w:val="000000" w:themeColor="text1" w:themeTint="FF" w:themeShade="FF"/>
          <w:sz w:val="24"/>
          <w:szCs w:val="24"/>
        </w:rPr>
        <w:t xml:space="preserve">Glauce Rocha, Jardel Filho, José </w:t>
      </w:r>
      <w:r w:rsidRPr="3808245A" w:rsidR="003F0F29">
        <w:rPr>
          <w:color w:val="000000" w:themeColor="text1" w:themeTint="FF" w:themeShade="FF"/>
          <w:sz w:val="24"/>
          <w:szCs w:val="24"/>
        </w:rPr>
        <w:t>Lewgoy</w:t>
      </w:r>
      <w:r w:rsidRPr="3808245A" w:rsidR="003F0F29">
        <w:rPr>
          <w:color w:val="000000" w:themeColor="text1" w:themeTint="FF" w:themeShade="FF"/>
          <w:sz w:val="24"/>
          <w:szCs w:val="24"/>
        </w:rPr>
        <w:t>, Paulo Autran</w:t>
      </w:r>
      <w:r w:rsidRPr="3808245A" w:rsidR="0D529888">
        <w:rPr>
          <w:color w:val="000000" w:themeColor="text1" w:themeTint="FF" w:themeShade="FF"/>
          <w:sz w:val="24"/>
          <w:szCs w:val="24"/>
        </w:rPr>
        <w:t xml:space="preserve"> e</w:t>
      </w:r>
      <w:r w:rsidRPr="3808245A" w:rsidR="003F0F29">
        <w:rPr>
          <w:color w:val="000000" w:themeColor="text1" w:themeTint="FF" w:themeShade="FF"/>
          <w:sz w:val="24"/>
          <w:szCs w:val="24"/>
        </w:rPr>
        <w:t xml:space="preserve"> Paulo </w:t>
      </w:r>
      <w:r w:rsidRPr="3808245A" w:rsidR="003F0F29">
        <w:rPr>
          <w:color w:val="000000" w:themeColor="text1" w:themeTint="FF" w:themeShade="FF"/>
          <w:sz w:val="24"/>
          <w:szCs w:val="24"/>
        </w:rPr>
        <w:t>Gracindo</w:t>
      </w:r>
      <w:r w:rsidRPr="3808245A" w:rsidR="7AB4A6F9">
        <w:rPr>
          <w:color w:val="000000" w:themeColor="text1" w:themeTint="FF" w:themeShade="FF"/>
          <w:sz w:val="24"/>
          <w:szCs w:val="24"/>
        </w:rPr>
        <w:t>.</w:t>
      </w:r>
    </w:p>
    <w:p w:rsidRPr="003F0F29" w:rsidR="0050612E" w:rsidP="5C9FD9D8" w:rsidRDefault="0050612E" w14:paraId="4658192D" w14:textId="4794DCA1">
      <w:pPr>
        <w:rPr>
          <w:rFonts w:cs="Calibri" w:cstheme="minorAscii"/>
          <w:color w:val="FF0000"/>
          <w:sz w:val="24"/>
          <w:szCs w:val="24"/>
        </w:rPr>
      </w:pPr>
      <w:r w:rsidRPr="5C9FD9D8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5C9FD9D8" w:rsidR="0050612E">
        <w:rPr>
          <w:rFonts w:cs="Calibri" w:cstheme="minorAscii"/>
          <w:sz w:val="24"/>
          <w:szCs w:val="24"/>
        </w:rPr>
        <w:t xml:space="preserve"> </w:t>
      </w:r>
      <w:r w:rsidRPr="5C9FD9D8" w:rsidR="003F0F29">
        <w:rPr>
          <w:rFonts w:cs="Calibri" w:cstheme="minorAscii"/>
          <w:sz w:val="24"/>
          <w:szCs w:val="24"/>
        </w:rPr>
        <w:t>14 anos</w:t>
      </w:r>
      <w:r w:rsidRPr="5C9FD9D8" w:rsidR="6330DFF2">
        <w:rPr>
          <w:rFonts w:cs="Calibri" w:cstheme="minorAscii"/>
          <w:sz w:val="24"/>
          <w:szCs w:val="24"/>
        </w:rPr>
        <w:t xml:space="preserve"> </w:t>
      </w:r>
      <w:r w:rsidRPr="5C9FD9D8" w:rsidR="4AAEB0E1">
        <w:rPr>
          <w:rFonts w:cs="Calibri" w:cstheme="minorAscii"/>
          <w:sz w:val="24"/>
          <w:szCs w:val="24"/>
        </w:rPr>
        <w:t>(violência)</w:t>
      </w:r>
    </w:p>
    <w:p w:rsidRPr="003F0F29" w:rsidR="0050612E" w:rsidP="0D2F197C" w:rsidRDefault="0050612E" w14:paraId="3CCA9E94" w14:textId="702EAC42">
      <w:pPr>
        <w:jc w:val="both"/>
        <w:rPr>
          <w:rFonts w:cs="Calibri" w:cstheme="minorAscii"/>
          <w:sz w:val="24"/>
          <w:szCs w:val="24"/>
        </w:rPr>
      </w:pPr>
      <w:r w:rsidRPr="0D2F197C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0D2F197C" w:rsidR="0050612E">
        <w:rPr>
          <w:rFonts w:cs="Calibri" w:cstheme="minorAscii"/>
          <w:sz w:val="24"/>
          <w:szCs w:val="24"/>
        </w:rPr>
        <w:t xml:space="preserve"> </w:t>
      </w:r>
      <w:r w:rsidRPr="0D2F197C" w:rsidR="724D328B">
        <w:rPr>
          <w:rFonts w:cs="Calibri" w:cstheme="minorAscii"/>
          <w:sz w:val="24"/>
          <w:szCs w:val="24"/>
        </w:rPr>
        <w:t>à</w:t>
      </w:r>
      <w:r w:rsidRPr="0D2F197C" w:rsidR="003F0F29">
        <w:rPr>
          <w:rFonts w:cs="Calibri" w:cstheme="minorAscii"/>
          <w:sz w:val="24"/>
          <w:szCs w:val="24"/>
        </w:rPr>
        <w:t xml:space="preserve"> beira da morte, um poeta agoniza e refaz seu percurso à frente das lutas políticas de Eldorado, um país fictício convulsionado por disputas de poder. Num gesto desesperado, ele tenta descrever os caminhos que levaram a um golpe de estado perpetrado por forças cristãs e conservadoras</w:t>
      </w:r>
      <w:r w:rsidRPr="0D2F197C" w:rsidR="00D31E0B">
        <w:rPr>
          <w:color w:val="000000" w:themeColor="text1" w:themeTint="FF" w:themeShade="FF"/>
          <w:sz w:val="24"/>
          <w:szCs w:val="24"/>
        </w:rPr>
        <w:t>.</w:t>
      </w:r>
    </w:p>
    <w:p w:rsidRPr="003F0F29" w:rsidR="0050612E" w:rsidP="0D2F197C" w:rsidRDefault="0050612E" w14:paraId="58DF05FF" w14:textId="2C9C9E97" w14:noSpellErr="1">
      <w:pPr>
        <w:jc w:val="both"/>
        <w:rPr>
          <w:rFonts w:cs="Calibri" w:cstheme="minorAscii"/>
          <w:sz w:val="24"/>
          <w:szCs w:val="24"/>
        </w:rPr>
      </w:pPr>
      <w:r w:rsidRPr="5C9FD9D8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5C9FD9D8" w:rsidR="0050612E">
        <w:rPr>
          <w:rFonts w:cs="Calibri" w:cstheme="minorAscii"/>
          <w:sz w:val="24"/>
          <w:szCs w:val="24"/>
        </w:rPr>
        <w:t xml:space="preserve"> </w:t>
      </w:r>
      <w:r w:rsidRPr="5C9FD9D8" w:rsidR="003F0F29">
        <w:rPr>
          <w:color w:val="000000" w:themeColor="text1" w:themeTint="FF" w:themeShade="FF"/>
          <w:sz w:val="24"/>
          <w:szCs w:val="24"/>
        </w:rPr>
        <w:t>Considerado por muitos a obra-prima de Glauber Rocha, o filme causou um verdadeiro choque cultural quando foi lançado. Influenciou as artes brasileiras como um todo e atravessou gerações de cinéfilos. Traições, brigas palacianas, poesia e política dão forma a este drama barroco inteiramente atual</w:t>
      </w:r>
      <w:r w:rsidRPr="5C9FD9D8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="0050612E" w:rsidP="0D2F197C" w:rsidRDefault="0050612E" w14:paraId="5FC8A163" w14:textId="2800E838">
      <w:pPr>
        <w:rPr>
          <w:color w:val="000000"/>
          <w:sz w:val="24"/>
          <w:szCs w:val="24"/>
        </w:rPr>
      </w:pPr>
      <w:r w:rsidRPr="5C9FD9D8" w:rsidR="0050612E">
        <w:rPr>
          <w:rFonts w:cs="Calibri" w:cstheme="minorAscii"/>
          <w:b w:val="1"/>
          <w:bCs w:val="1"/>
          <w:sz w:val="24"/>
          <w:szCs w:val="24"/>
        </w:rPr>
        <w:t>Saiba Mais:</w:t>
      </w:r>
      <w:r w:rsidRPr="5C9FD9D8" w:rsidR="002B6635">
        <w:rPr>
          <w:color w:val="000000" w:themeColor="text1" w:themeTint="FF" w:themeShade="FF"/>
          <w:sz w:val="24"/>
          <w:szCs w:val="24"/>
        </w:rPr>
        <w:t xml:space="preserve"> </w:t>
      </w:r>
      <w:hyperlink r:id="Rccdb5404d03e4ec5">
        <w:r w:rsidRPr="5C9FD9D8" w:rsidR="003F0F29">
          <w:rPr>
            <w:rStyle w:val="Hyperlink"/>
            <w:sz w:val="24"/>
            <w:szCs w:val="24"/>
          </w:rPr>
          <w:t>http://enciclopedia.itaucultural.org.br/obra68016/terra-em-transe</w:t>
        </w:r>
        <w:r>
          <w:br/>
        </w:r>
        <w:r w:rsidRPr="5C9FD9D8" w:rsidR="003F0F29">
          <w:rPr>
            <w:rStyle w:val="Hyperlink"/>
            <w:sz w:val="24"/>
            <w:szCs w:val="24"/>
          </w:rPr>
          <w:t>https://enciclopedia.itaucultural.org.br/termo14333/cinema-novo</w:t>
        </w:r>
        <w:r>
          <w:br/>
        </w:r>
        <w:r w:rsidRPr="5C9FD9D8" w:rsidR="003F0F29">
          <w:rPr>
            <w:rStyle w:val="Hyperlink"/>
            <w:sz w:val="24"/>
            <w:szCs w:val="24"/>
          </w:rPr>
          <w:t>https://enciclopedia.itaucultural.org.br/pessoa10814/glauber-rocha</w:t>
        </w:r>
      </w:hyperlink>
    </w:p>
    <w:p w:rsidR="003F0F29" w:rsidP="0D2F197C" w:rsidRDefault="003F0F29" w14:paraId="1480D094" w14:textId="77777777" w14:noSpellErr="1">
      <w:pPr>
        <w:rPr>
          <w:color w:val="000000"/>
          <w:sz w:val="24"/>
          <w:szCs w:val="24"/>
        </w:rPr>
      </w:pPr>
    </w:p>
    <w:p w:rsidR="002B6635" w:rsidP="0D2F197C" w:rsidRDefault="002B6635" w14:paraId="673B062C" w14:textId="77777777" w14:noSpellErr="1">
      <w:pPr>
        <w:pStyle w:val="Pr-formataoHTML"/>
        <w:shd w:val="clear" w:color="auto" w:fill="FFFFFF" w:themeFill="background1"/>
        <w:rPr>
          <w:color w:val="000000"/>
          <w:sz w:val="24"/>
          <w:szCs w:val="24"/>
        </w:rPr>
      </w:pPr>
    </w:p>
    <w:p w:rsidRPr="0050612E" w:rsidR="003F784C" w:rsidP="0D2F197C" w:rsidRDefault="003F784C" w14:paraId="5D206EE9" w14:textId="77777777" w14:noSpellErr="1">
      <w:pPr>
        <w:pStyle w:val="Pr-formataoHTML"/>
        <w:shd w:val="clear" w:color="auto" w:fill="FFFFFF" w:themeFill="background1"/>
        <w:rPr>
          <w:b w:val="1"/>
          <w:bCs w:val="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96049"/>
    <w:rsid w:val="002B6635"/>
    <w:rsid w:val="003E2813"/>
    <w:rsid w:val="003F0F29"/>
    <w:rsid w:val="003F784C"/>
    <w:rsid w:val="0050612E"/>
    <w:rsid w:val="008902A8"/>
    <w:rsid w:val="00926F5E"/>
    <w:rsid w:val="00B64E55"/>
    <w:rsid w:val="00D31E0B"/>
    <w:rsid w:val="00EF3350"/>
    <w:rsid w:val="036650CE"/>
    <w:rsid w:val="0D2F197C"/>
    <w:rsid w:val="0D529888"/>
    <w:rsid w:val="3808245A"/>
    <w:rsid w:val="3D2DFBF0"/>
    <w:rsid w:val="4AAEB0E1"/>
    <w:rsid w:val="5A35785D"/>
    <w:rsid w:val="5C9FD9D8"/>
    <w:rsid w:val="6330DFF2"/>
    <w:rsid w:val="6802B231"/>
    <w:rsid w:val="6DF5FF0E"/>
    <w:rsid w:val="724D328B"/>
    <w:rsid w:val="7AB4A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obra68016/terra-em-transe\nhttps://enciclopedia.itaucultural.org.br/termo14333/cinema-novo\nhttps://enciclopedia.itaucultural.org.br/pessoa10814/glauber-rocha" TargetMode="External" Id="Rccdb5404d03e4ec5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E31384-2580-4CDA-83CB-EEFB702A0301}"/>
</file>

<file path=customXml/itemProps2.xml><?xml version="1.0" encoding="utf-8"?>
<ds:datastoreItem xmlns:ds="http://schemas.openxmlformats.org/officeDocument/2006/customXml" ds:itemID="{F3DEB779-38C4-4486-B694-A7433E9FD4B9}"/>
</file>

<file path=customXml/itemProps3.xml><?xml version="1.0" encoding="utf-8"?>
<ds:datastoreItem xmlns:ds="http://schemas.openxmlformats.org/officeDocument/2006/customXml" ds:itemID="{469BCFFB-B1F8-41D6-A0B4-EF7295D67F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8</revision>
  <dcterms:created xsi:type="dcterms:W3CDTF">2021-05-07T02:49:00.0000000Z</dcterms:created>
  <dcterms:modified xsi:type="dcterms:W3CDTF">2021-05-21T17:13:36.2457146Z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